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A34FB33" w:rsidP="6A8E2955" w:rsidRDefault="7A34FB33" w14:paraId="1623C7EC" w14:textId="3833D264">
      <w:pPr>
        <w:pStyle w:val="Overskrift1"/>
        <w:bidi w:val="0"/>
        <w:spacing w:before="240" w:beforeAutospacing="off" w:after="0" w:afterAutospacing="off" w:line="259" w:lineRule="auto"/>
        <w:ind w:left="0" w:right="0"/>
        <w:jc w:val="left"/>
        <w:rPr>
          <w:rFonts w:ascii="Calibri Light" w:hAnsi="Calibri Light" w:eastAsia="Calibri Light" w:cs="Calibri Light"/>
          <w:b w:val="0"/>
          <w:bCs w:val="0"/>
          <w:i w:val="0"/>
          <w:iCs w:val="0"/>
          <w:caps w:val="0"/>
          <w:smallCaps w:val="0"/>
          <w:noProof w:val="0"/>
          <w:color w:val="2E74B5" w:themeColor="accent1" w:themeTint="FF" w:themeShade="BF"/>
          <w:sz w:val="32"/>
          <w:szCs w:val="32"/>
          <w:lang w:val="nb-NO"/>
        </w:rPr>
      </w:pPr>
      <w:r w:rsidRPr="6A8E2955" w:rsidR="6AA34928">
        <w:rPr>
          <w:rFonts w:ascii="Calibri Light" w:hAnsi="Calibri Light" w:eastAsia="Calibri Light" w:cs="Calibri Light"/>
          <w:b w:val="0"/>
          <w:bCs w:val="0"/>
          <w:i w:val="0"/>
          <w:iCs w:val="0"/>
          <w:caps w:val="0"/>
          <w:smallCaps w:val="0"/>
          <w:noProof w:val="0"/>
          <w:color w:val="2E74B5" w:themeColor="accent1" w:themeTint="FF" w:themeShade="BF"/>
          <w:sz w:val="32"/>
          <w:szCs w:val="32"/>
          <w:lang w:val="nb-NO"/>
        </w:rPr>
        <w:t>Sikre finansiering av barnevern</w:t>
      </w:r>
      <w:r w:rsidRPr="6A8E2955" w:rsidR="6B1DD3AA">
        <w:rPr>
          <w:rFonts w:ascii="Calibri Light" w:hAnsi="Calibri Light" w:eastAsia="Calibri Light" w:cs="Calibri Light"/>
          <w:b w:val="0"/>
          <w:bCs w:val="0"/>
          <w:i w:val="0"/>
          <w:iCs w:val="0"/>
          <w:caps w:val="0"/>
          <w:smallCaps w:val="0"/>
          <w:noProof w:val="0"/>
          <w:color w:val="2E74B5" w:themeColor="accent1" w:themeTint="FF" w:themeShade="BF"/>
          <w:sz w:val="32"/>
          <w:szCs w:val="32"/>
          <w:lang w:val="nb-NO"/>
        </w:rPr>
        <w:t>reform</w:t>
      </w:r>
    </w:p>
    <w:p w:rsidR="7A34FB33" w:rsidP="6A8E2955" w:rsidRDefault="7A34FB33" w14:paraId="676CC392" w14:textId="2490F1A4">
      <w:pPr>
        <w:rPr>
          <w:rFonts w:ascii="Calibri" w:hAnsi="Calibri" w:eastAsia="Calibri" w:cs="Calibri"/>
          <w:b w:val="0"/>
          <w:bCs w:val="0"/>
          <w:i w:val="0"/>
          <w:iCs w:val="0"/>
          <w:caps w:val="0"/>
          <w:smallCaps w:val="0"/>
          <w:noProof w:val="0"/>
          <w:color w:val="000000" w:themeColor="text1" w:themeTint="FF" w:themeShade="FF"/>
          <w:sz w:val="24"/>
          <w:szCs w:val="24"/>
          <w:lang w:val="nb-NO"/>
        </w:rPr>
      </w:pPr>
      <w:r w:rsidRPr="6A8E2955" w:rsidR="6AA34928">
        <w:rPr>
          <w:rFonts w:ascii="Calibri" w:hAnsi="Calibri" w:eastAsia="Calibri" w:cs="Calibri"/>
          <w:b w:val="0"/>
          <w:bCs w:val="0"/>
          <w:i w:val="0"/>
          <w:iCs w:val="0"/>
          <w:caps w:val="0"/>
          <w:smallCaps w:val="0"/>
          <w:noProof w:val="0"/>
          <w:color w:val="000000" w:themeColor="text1" w:themeTint="FF" w:themeShade="FF"/>
          <w:sz w:val="24"/>
          <w:szCs w:val="24"/>
          <w:lang w:val="nb-NO"/>
        </w:rPr>
        <w:t>Innspill til Stortingsvalget september 2021</w:t>
      </w:r>
      <w:r w:rsidRPr="6A8E2955" w:rsidR="1A90441B">
        <w:rPr>
          <w:rFonts w:ascii="Calibri" w:hAnsi="Calibri" w:eastAsia="Calibri" w:cs="Calibri"/>
          <w:b w:val="0"/>
          <w:bCs w:val="0"/>
          <w:i w:val="0"/>
          <w:iCs w:val="0"/>
          <w:caps w:val="0"/>
          <w:smallCaps w:val="0"/>
          <w:noProof w:val="0"/>
          <w:color w:val="000000" w:themeColor="text1" w:themeTint="FF" w:themeShade="FF"/>
          <w:sz w:val="24"/>
          <w:szCs w:val="24"/>
          <w:lang w:val="nb-NO"/>
        </w:rPr>
        <w:t>. Informasjon hentet fra KS og Kommuneproposisjonen 2022.</w:t>
      </w:r>
    </w:p>
    <w:p w:rsidR="7A34FB33" w:rsidP="6A8E2955" w:rsidRDefault="7A34FB33" w14:paraId="703A964E" w14:textId="24326A7F">
      <w:pPr>
        <w:rPr>
          <w:rFonts w:ascii="Calibri" w:hAnsi="Calibri" w:eastAsia="Calibri" w:cs="Calibri"/>
          <w:b w:val="0"/>
          <w:bCs w:val="0"/>
          <w:i w:val="0"/>
          <w:iCs w:val="0"/>
          <w:caps w:val="0"/>
          <w:smallCaps w:val="0"/>
          <w:noProof w:val="0"/>
          <w:color w:val="000000" w:themeColor="text1" w:themeTint="FF" w:themeShade="FF"/>
          <w:sz w:val="24"/>
          <w:szCs w:val="24"/>
          <w:lang w:val="nb-NO"/>
        </w:rPr>
      </w:pPr>
    </w:p>
    <w:p w:rsidR="7A34FB33" w:rsidP="6A8E2955" w:rsidRDefault="7A34FB33" w14:paraId="2FE89E2F" w14:textId="3611909C">
      <w:pPr>
        <w:pStyle w:val="Heading2"/>
        <w:spacing w:before="40"/>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pPr>
      <w:r w:rsidRPr="6A8E2955" w:rsidR="6AA34928">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t>Problemstilling:</w:t>
      </w:r>
    </w:p>
    <w:p w:rsidR="7A34FB33" w:rsidP="6A8E2955" w:rsidRDefault="7A34FB33" w14:paraId="17520C46" w14:textId="352052DB">
      <w:pPr>
        <w:pStyle w:val="Normal"/>
        <w:rPr>
          <w:rFonts w:ascii="Calibri" w:hAnsi="Calibri" w:eastAsia="Calibri" w:cs="Calibri"/>
          <w:noProof w:val="0"/>
          <w:sz w:val="24"/>
          <w:szCs w:val="24"/>
          <w:lang w:val="nb-NO"/>
        </w:rPr>
      </w:pPr>
      <w:r w:rsidRPr="6A8E2955" w:rsidR="4A76C14E">
        <w:rPr>
          <w:rFonts w:ascii="Calibri" w:hAnsi="Calibri" w:eastAsia="Calibri" w:cs="Calibri"/>
          <w:b w:val="0"/>
          <w:bCs w:val="0"/>
          <w:i w:val="0"/>
          <w:iCs w:val="0"/>
          <w:caps w:val="0"/>
          <w:smallCaps w:val="0"/>
          <w:noProof w:val="0"/>
          <w:color w:val="444444"/>
          <w:sz w:val="24"/>
          <w:szCs w:val="24"/>
          <w:lang w:val="nb-NO"/>
        </w:rPr>
        <w:t>Barnevernreformen, også kalt oppvekstreformen, trer i kraft 1. januar 2022. Kommunene får økt faglig og økonomisk ansvar for barnevernet. Det overordnede målet med reformen er et bedre barnevern, der tjenestetilbudet skal kunne tilpasses lokale behov.</w:t>
      </w:r>
    </w:p>
    <w:p w:rsidR="7A34FB33" w:rsidP="6A8E2955" w:rsidRDefault="7A34FB33" w14:paraId="0BDD5FA5" w14:textId="5819147D">
      <w:pPr>
        <w:pStyle w:val="Normal"/>
        <w:rPr>
          <w:rFonts w:ascii="Calibri" w:hAnsi="Calibri" w:eastAsia="Calibri" w:cs="Calibri"/>
          <w:b w:val="0"/>
          <w:bCs w:val="0"/>
          <w:i w:val="0"/>
          <w:iCs w:val="0"/>
          <w:caps w:val="0"/>
          <w:smallCaps w:val="0"/>
          <w:noProof w:val="0"/>
          <w:color w:val="444444"/>
          <w:sz w:val="24"/>
          <w:szCs w:val="24"/>
          <w:lang w:val="nb-NO"/>
        </w:rPr>
      </w:pPr>
    </w:p>
    <w:p w:rsidR="7A34FB33" w:rsidP="6A8E2955" w:rsidRDefault="7A34FB33" w14:paraId="1C2A11D4" w14:textId="7C505378">
      <w:pPr>
        <w:pStyle w:val="Normal"/>
        <w:rPr>
          <w:rFonts w:ascii="Calibri" w:hAnsi="Calibri" w:eastAsia="Calibri" w:cs="Calibri"/>
          <w:b w:val="1"/>
          <w:bCs w:val="1"/>
          <w:i w:val="0"/>
          <w:iCs w:val="0"/>
          <w:caps w:val="0"/>
          <w:smallCaps w:val="0"/>
          <w:noProof w:val="0"/>
          <w:color w:val="444444"/>
          <w:sz w:val="24"/>
          <w:szCs w:val="24"/>
          <w:lang w:val="nb-NO"/>
        </w:rPr>
      </w:pPr>
      <w:r w:rsidRPr="6A8E2955" w:rsidR="17DA0E7E">
        <w:rPr>
          <w:rFonts w:ascii="Calibri" w:hAnsi="Calibri" w:eastAsia="Calibri" w:cs="Calibri"/>
          <w:b w:val="1"/>
          <w:bCs w:val="1"/>
          <w:i w:val="0"/>
          <w:iCs w:val="0"/>
          <w:caps w:val="0"/>
          <w:smallCaps w:val="0"/>
          <w:noProof w:val="0"/>
          <w:color w:val="444444"/>
          <w:sz w:val="24"/>
          <w:szCs w:val="24"/>
          <w:lang w:val="nb-NO"/>
        </w:rPr>
        <w:t>Region Kristiansand forventer at reformen blir fullfinansiert fra staten.</w:t>
      </w:r>
    </w:p>
    <w:p w:rsidR="7A34FB33" w:rsidP="6A8E2955" w:rsidRDefault="7A34FB33" w14:paraId="4D214198" w14:textId="0717C844">
      <w:pPr>
        <w:pStyle w:val="Normal"/>
        <w:rPr>
          <w:rFonts w:ascii="Calibri" w:hAnsi="Calibri" w:eastAsia="Calibri" w:cs="Calibri"/>
          <w:b w:val="0"/>
          <w:bCs w:val="0"/>
          <w:i w:val="0"/>
          <w:iCs w:val="0"/>
          <w:caps w:val="0"/>
          <w:smallCaps w:val="0"/>
          <w:noProof w:val="0"/>
          <w:color w:val="444444"/>
          <w:sz w:val="24"/>
          <w:szCs w:val="24"/>
          <w:lang w:val="nb-NO"/>
        </w:rPr>
      </w:pPr>
    </w:p>
    <w:p w:rsidR="7A34FB33" w:rsidP="6A8E2955" w:rsidRDefault="7A34FB33" w14:paraId="4F3A3CDD" w14:textId="1C1C1A2D">
      <w:pPr>
        <w:pStyle w:val="Heading2"/>
        <w:spacing w:before="40"/>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pPr>
      <w:r w:rsidRPr="6A8E2955" w:rsidR="6AA34928">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t>Beskrivelse:</w:t>
      </w:r>
    </w:p>
    <w:p w:rsidR="7A34FB33" w:rsidP="6A8E2955" w:rsidRDefault="7A34FB33" w14:paraId="728EB047" w14:textId="45609779">
      <w:pPr>
        <w:pStyle w:val="Heading2"/>
        <w:spacing w:before="40"/>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pPr>
      <w:r w:rsidRPr="6A8E2955" w:rsidR="69EF991D">
        <w:rPr>
          <w:rFonts w:ascii="Calibri" w:hAnsi="Calibri" w:eastAsia="Calibri" w:cs="Calibri"/>
          <w:b w:val="0"/>
          <w:bCs w:val="0"/>
          <w:i w:val="0"/>
          <w:iCs w:val="0"/>
          <w:caps w:val="0"/>
          <w:smallCaps w:val="0"/>
          <w:noProof w:val="0"/>
          <w:color w:val="444444"/>
          <w:sz w:val="24"/>
          <w:szCs w:val="24"/>
          <w:lang w:val="nb-NO"/>
        </w:rPr>
        <w:t>De viktigste endringene i ansvarsfordeling mellom stat og kommune</w:t>
      </w:r>
    </w:p>
    <w:p w:rsidR="7A34FB33" w:rsidP="6A8E2955" w:rsidRDefault="7A34FB33" w14:paraId="3A727DEF" w14:textId="334C0F05">
      <w:pPr>
        <w:pStyle w:val="Listeavsnitt"/>
        <w:numPr>
          <w:ilvl w:val="0"/>
          <w:numId w:val="4"/>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Kommunene får et økt finansieringsansvar for barnevernstiltak</w:t>
      </w:r>
    </w:p>
    <w:p w:rsidR="7A34FB33" w:rsidP="6A8E2955" w:rsidRDefault="7A34FB33" w14:paraId="05D9624E" w14:textId="2A3B9751">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Fullt økonomisk ansvar for ordinære fosterhjem, og økte kommunale egenandeler for bruk av spesialiserte hjelpetiltak, spesialiserte fosterhjem, institusjon og akuttiltak</w:t>
      </w:r>
    </w:p>
    <w:p w:rsidR="7A34FB33" w:rsidP="6A8E2955" w:rsidRDefault="7A34FB33" w14:paraId="719E85DE" w14:textId="67AEE21B">
      <w:pPr>
        <w:pStyle w:val="Listeavsnitt"/>
        <w:numPr>
          <w:ilvl w:val="0"/>
          <w:numId w:val="4"/>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Helhetlig kommunalt ansvar for oppfølging og veiledning av fosterhjem</w:t>
      </w:r>
    </w:p>
    <w:p w:rsidR="7A34FB33" w:rsidP="6A8E2955" w:rsidRDefault="7A34FB33" w14:paraId="5C844C5C" w14:textId="1DF642F2">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Statens betalingsansvar for ordinære fosterhjem, refusjonsordningen, oppheves</w:t>
      </w:r>
    </w:p>
    <w:p w:rsidR="7A34FB33" w:rsidP="6A8E2955" w:rsidRDefault="7A34FB33" w14:paraId="78C6043D" w14:textId="56EDC4D5">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Kommunen får et helhetlig ansvar for oppfølging og veiledning av fosterhjemmene</w:t>
      </w:r>
    </w:p>
    <w:p w:rsidR="7A34FB33" w:rsidP="6A8E2955" w:rsidRDefault="7A34FB33" w14:paraId="4A57FF33" w14:textId="626C4F1C">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Lovfestet kommunal plikt til alltid å først søke etter fosterhjem i barnets familie og nære nettverk</w:t>
      </w:r>
    </w:p>
    <w:p w:rsidR="7A34FB33" w:rsidP="6A8E2955" w:rsidRDefault="7A34FB33" w14:paraId="78E9F8BB" w14:textId="6CA6792E">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Samlet ansvar for valg og godkjenning av fosterhjem i én kommune (omsorgskommunen)</w:t>
      </w:r>
    </w:p>
    <w:p w:rsidR="7A34FB33" w:rsidP="6A8E2955" w:rsidRDefault="7A34FB33" w14:paraId="73DB44B6" w14:textId="3EAEF875">
      <w:pPr>
        <w:pStyle w:val="Listeavsnitt"/>
        <w:numPr>
          <w:ilvl w:val="0"/>
          <w:numId w:val="4"/>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Statens spesialiserte tilbud blir tydeliggjort i loven</w:t>
      </w:r>
    </w:p>
    <w:p w:rsidR="7A34FB33" w:rsidP="6A8E2955" w:rsidRDefault="7A34FB33" w14:paraId="67A08FFB" w14:textId="5DA58B91">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Bufetat kan i særlige tilfeller tilby plass i spesialiserte fosterhjem</w:t>
      </w:r>
    </w:p>
    <w:p w:rsidR="7A34FB33" w:rsidP="6A8E2955" w:rsidRDefault="7A34FB33" w14:paraId="40C74EF9" w14:textId="67D8CFF0">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Bufetat kan tilby utredning av sped- og småbarn</w:t>
      </w:r>
    </w:p>
    <w:p w:rsidR="7A34FB33" w:rsidP="6A8E2955" w:rsidRDefault="7A34FB33" w14:paraId="5EEEBD28" w14:textId="45A13776">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Bufetat kan tilby spesialiserte hjelpetiltak der dette kan forhindre plassering utenfor hjemmet</w:t>
      </w:r>
    </w:p>
    <w:p w:rsidR="7A34FB33" w:rsidP="6A8E2955" w:rsidRDefault="7A34FB33" w14:paraId="0EC83536" w14:textId="0BFCA947">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Bufetats tilbud av PMTO avvikles i takt med at kommunene bygger opp nødvendig kompetanse til å tilby PMTO og tilsvarende hjelpetiltak</w:t>
      </w:r>
    </w:p>
    <w:p w:rsidR="7A34FB33" w:rsidP="6A8E2955" w:rsidRDefault="7A34FB33" w14:paraId="202673A2" w14:textId="4AF676F3">
      <w:pPr>
        <w:pStyle w:val="Listeavsnitt"/>
        <w:numPr>
          <w:ilvl w:val="0"/>
          <w:numId w:val="4"/>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Andre endringer</w:t>
      </w:r>
    </w:p>
    <w:p w:rsidR="7A34FB33" w:rsidP="6A8E2955" w:rsidRDefault="7A34FB33" w14:paraId="264BD5A7" w14:textId="0E61AAFF">
      <w:pPr>
        <w:pStyle w:val="Listeavsnitt"/>
        <w:numPr>
          <w:ilvl w:val="1"/>
          <w:numId w:val="5"/>
        </w:numPr>
        <w:jc w:val="left"/>
        <w:rPr>
          <w:rFonts w:ascii="Calibri" w:hAnsi="Calibri" w:eastAsia="Calibri" w:cs="Calibri" w:asciiTheme="minorAscii" w:hAnsiTheme="minorAscii" w:eastAsiaTheme="minorAscii" w:cstheme="minorAscii"/>
          <w:b w:val="0"/>
          <w:bCs w:val="0"/>
          <w:i w:val="0"/>
          <w:iCs w:val="0"/>
          <w:color w:val="444444"/>
          <w:sz w:val="24"/>
          <w:szCs w:val="24"/>
        </w:rPr>
      </w:pPr>
      <w:r w:rsidRPr="6A8E2955" w:rsidR="69EF991D">
        <w:rPr>
          <w:rFonts w:ascii="Calibri" w:hAnsi="Calibri" w:eastAsia="Calibri" w:cs="Calibri"/>
          <w:b w:val="0"/>
          <w:bCs w:val="0"/>
          <w:i w:val="0"/>
          <w:iCs w:val="0"/>
          <w:caps w:val="0"/>
          <w:smallCaps w:val="0"/>
          <w:noProof w:val="0"/>
          <w:color w:val="444444"/>
          <w:sz w:val="24"/>
          <w:szCs w:val="24"/>
          <w:lang w:val="nb-NO"/>
        </w:rPr>
        <w:t>Krav om årlig rapportering om barnevernet til kommunestyret</w:t>
      </w:r>
    </w:p>
    <w:p w:rsidR="7A34FB33" w:rsidP="6A8E2955" w:rsidRDefault="7A34FB33" w14:paraId="7716BC73" w14:textId="3BE46A00">
      <w:pPr>
        <w:jc w:val="left"/>
        <w:rPr>
          <w:rFonts w:ascii="Calibri" w:hAnsi="Calibri" w:eastAsia="Calibri" w:cs="Calibri"/>
          <w:b w:val="1"/>
          <w:bCs w:val="1"/>
          <w:i w:val="0"/>
          <w:iCs w:val="0"/>
          <w:caps w:val="0"/>
          <w:smallCaps w:val="0"/>
          <w:noProof w:val="0"/>
          <w:color w:val="444444"/>
          <w:sz w:val="24"/>
          <w:szCs w:val="24"/>
          <w:lang w:val="nb-NO"/>
        </w:rPr>
      </w:pPr>
    </w:p>
    <w:p w:rsidR="7A34FB33" w:rsidP="6A8E2955" w:rsidRDefault="7A34FB33" w14:paraId="0F718217" w14:textId="1212ABFC">
      <w:pPr>
        <w:jc w:val="left"/>
      </w:pPr>
      <w:r w:rsidRPr="6A8E2955" w:rsidR="09B33669">
        <w:rPr>
          <w:rFonts w:ascii="Calibri" w:hAnsi="Calibri" w:eastAsia="Calibri" w:cs="Calibri"/>
          <w:b w:val="1"/>
          <w:bCs w:val="1"/>
          <w:i w:val="0"/>
          <w:iCs w:val="0"/>
          <w:caps w:val="0"/>
          <w:smallCaps w:val="0"/>
          <w:noProof w:val="0"/>
          <w:color w:val="444444"/>
          <w:sz w:val="24"/>
          <w:szCs w:val="24"/>
          <w:lang w:val="nb-NO"/>
        </w:rPr>
        <w:t>Kostnadsberegning</w:t>
      </w:r>
      <w:r w:rsidRPr="6A8E2955" w:rsidR="1274AC00">
        <w:rPr>
          <w:rFonts w:ascii="Calibri" w:hAnsi="Calibri" w:eastAsia="Calibri" w:cs="Calibri"/>
          <w:b w:val="1"/>
          <w:bCs w:val="1"/>
          <w:i w:val="0"/>
          <w:iCs w:val="0"/>
          <w:caps w:val="0"/>
          <w:smallCaps w:val="0"/>
          <w:noProof w:val="0"/>
          <w:color w:val="444444"/>
          <w:sz w:val="24"/>
          <w:szCs w:val="24"/>
          <w:lang w:val="nb-NO"/>
        </w:rPr>
        <w:t xml:space="preserve"> (fra k.prop)</w:t>
      </w:r>
    </w:p>
    <w:p w:rsidR="7A34FB33" w:rsidP="6A8E2955" w:rsidRDefault="7A34FB33" w14:paraId="782CBFF9" w14:textId="5C7B9F17">
      <w:pPr>
        <w:jc w:val="left"/>
      </w:pPr>
      <w:r w:rsidRPr="6A8E2955" w:rsidR="1274AC00">
        <w:rPr>
          <w:rFonts w:ascii="Calibri" w:hAnsi="Calibri" w:eastAsia="Calibri" w:cs="Calibri"/>
          <w:b w:val="0"/>
          <w:bCs w:val="0"/>
          <w:i w:val="0"/>
          <w:iCs w:val="0"/>
          <w:caps w:val="0"/>
          <w:smallCaps w:val="0"/>
          <w:noProof w:val="0"/>
          <w:color w:val="444444"/>
          <w:sz w:val="24"/>
          <w:szCs w:val="24"/>
          <w:lang w:val="nb-NO"/>
        </w:rPr>
        <w:t>“</w:t>
      </w:r>
      <w:r w:rsidRPr="6A8E2955" w:rsidR="09B33669">
        <w:rPr>
          <w:rFonts w:ascii="Calibri" w:hAnsi="Calibri" w:eastAsia="Calibri" w:cs="Calibri"/>
          <w:b w:val="0"/>
          <w:bCs w:val="0"/>
          <w:i w:val="0"/>
          <w:iCs w:val="0"/>
          <w:caps w:val="0"/>
          <w:smallCaps w:val="0"/>
          <w:noProof w:val="0"/>
          <w:color w:val="444444"/>
          <w:sz w:val="24"/>
          <w:szCs w:val="24"/>
          <w:lang w:val="nb-NO"/>
        </w:rPr>
        <w:t xml:space="preserve">Barne- og familiedepartementet har tatt utgangspunkt i hva oppgavene som overføres til kommunene kostet </w:t>
      </w:r>
      <w:r w:rsidRPr="6A8E2955" w:rsidR="09B33669">
        <w:rPr>
          <w:rFonts w:ascii="Calibri" w:hAnsi="Calibri" w:eastAsia="Calibri" w:cs="Calibri"/>
          <w:b w:val="0"/>
          <w:bCs w:val="0"/>
          <w:i w:val="0"/>
          <w:iCs w:val="0"/>
          <w:caps w:val="0"/>
          <w:smallCaps w:val="0"/>
          <w:noProof w:val="0"/>
          <w:color w:val="444444"/>
          <w:sz w:val="24"/>
          <w:szCs w:val="24"/>
          <w:lang w:val="nb-NO"/>
        </w:rPr>
        <w:t>Bufetat i året 2019, når de har beregnet kostnader.</w:t>
      </w:r>
    </w:p>
    <w:p w:rsidR="7A34FB33" w:rsidP="6A8E2955" w:rsidRDefault="7A34FB33" w14:paraId="782E16D7" w14:textId="42E3C81A">
      <w:pPr>
        <w:jc w:val="left"/>
      </w:pPr>
      <w:r w:rsidRPr="6A8E2955" w:rsidR="09B33669">
        <w:rPr>
          <w:rFonts w:ascii="Calibri" w:hAnsi="Calibri" w:eastAsia="Calibri" w:cs="Calibri"/>
          <w:b w:val="0"/>
          <w:bCs w:val="0"/>
          <w:i w:val="0"/>
          <w:iCs w:val="0"/>
          <w:caps w:val="0"/>
          <w:smallCaps w:val="0"/>
          <w:noProof w:val="0"/>
          <w:color w:val="444444"/>
          <w:sz w:val="24"/>
          <w:szCs w:val="24"/>
          <w:lang w:val="nb-NO"/>
        </w:rPr>
        <w:t xml:space="preserve">Departementet jobber med estimerte fordelingseffekter ved rammeoverføring og oppdaterte anslag for kostnadsberegning for kommunene. KS er involvert i arbeidet. </w:t>
      </w:r>
      <w:hyperlink r:id="R0dc21521c4eb4333">
        <w:r w:rsidRPr="6A8E2955" w:rsidR="09B33669">
          <w:rPr>
            <w:rStyle w:val="Hyperlink"/>
            <w:rFonts w:ascii="Calibri" w:hAnsi="Calibri" w:eastAsia="Calibri" w:cs="Calibri"/>
            <w:b w:val="0"/>
            <w:bCs w:val="0"/>
            <w:i w:val="0"/>
            <w:iCs w:val="0"/>
            <w:caps w:val="0"/>
            <w:smallCaps w:val="0"/>
            <w:noProof w:val="0"/>
            <w:sz w:val="24"/>
            <w:szCs w:val="24"/>
            <w:lang w:val="nb-NO"/>
          </w:rPr>
          <w:t>Les mer her</w:t>
        </w:r>
      </w:hyperlink>
    </w:p>
    <w:p w:rsidR="7A34FB33" w:rsidP="6A8E2955" w:rsidRDefault="7A34FB33" w14:paraId="5510AF39" w14:textId="64CB8C79">
      <w:pPr>
        <w:pStyle w:val="Normal"/>
        <w:jc w:val="left"/>
        <w:rPr>
          <w:rFonts w:ascii="Calibri" w:hAnsi="Calibri" w:eastAsia="Calibri" w:cs="Calibri"/>
          <w:b w:val="0"/>
          <w:bCs w:val="0"/>
          <w:i w:val="0"/>
          <w:iCs w:val="0"/>
          <w:caps w:val="0"/>
          <w:smallCaps w:val="0"/>
          <w:noProof w:val="0"/>
          <w:sz w:val="24"/>
          <w:szCs w:val="24"/>
          <w:lang w:val="nb-NO"/>
        </w:rPr>
      </w:pPr>
    </w:p>
    <w:p w:rsidR="7A34FB33" w:rsidP="6A8E2955" w:rsidRDefault="7A34FB33" w14:paraId="45629844" w14:textId="7E426079">
      <w:pPr>
        <w:jc w:val="left"/>
      </w:pPr>
      <w:r w:rsidRPr="6A8E2955" w:rsidR="09B33669">
        <w:rPr>
          <w:rFonts w:ascii="Calibri" w:hAnsi="Calibri" w:eastAsia="Calibri" w:cs="Calibri"/>
          <w:b w:val="1"/>
          <w:bCs w:val="1"/>
          <w:i w:val="0"/>
          <w:iCs w:val="0"/>
          <w:caps w:val="0"/>
          <w:smallCaps w:val="0"/>
          <w:noProof w:val="0"/>
          <w:color w:val="444444"/>
          <w:sz w:val="24"/>
          <w:szCs w:val="24"/>
          <w:lang w:val="nb-NO"/>
        </w:rPr>
        <w:t>Økning i kommunale egenandeler ved kjøp av statlige tiltak</w:t>
      </w:r>
    </w:p>
    <w:p w:rsidR="7A34FB33" w:rsidP="6A8E2955" w:rsidRDefault="7A34FB33" w14:paraId="5B55D6EC" w14:textId="0ADC96F2">
      <w:pPr>
        <w:jc w:val="left"/>
      </w:pPr>
      <w:r w:rsidRPr="6A8E2955" w:rsidR="09B33669">
        <w:rPr>
          <w:rFonts w:ascii="Calibri" w:hAnsi="Calibri" w:eastAsia="Calibri" w:cs="Calibri"/>
          <w:b w:val="0"/>
          <w:bCs w:val="0"/>
          <w:i w:val="0"/>
          <w:iCs w:val="0"/>
          <w:caps w:val="0"/>
          <w:smallCaps w:val="0"/>
          <w:noProof w:val="0"/>
          <w:color w:val="444444"/>
          <w:sz w:val="24"/>
          <w:szCs w:val="24"/>
          <w:lang w:val="nb-NO"/>
        </w:rPr>
        <w:t>Som en del av reformen legges det opp til økning av de kommunale egenandelene ved kjøp av statlige tiltak. For flere kommuner vil det være forskjeller mellom kommunenes faktiske utgifter til statlige barneverntiltak i 2019 (innbetalte egenandeler fra kommunene), og fordeling av et tilsvarende beløp (ca. 1,5 milliarder kroner) etter delkostnadsnøkkelen for barnevern i inntektssystemet til kommunene. Foreløpige beregninger viser at dette vil gi omfordelingseffekter, og at det er kommuner som vil få lavere økning i frie inntekter enn deres faktiske utgifter til statlige tiltak i 2019.</w:t>
      </w:r>
    </w:p>
    <w:p w:rsidR="7A34FB33" w:rsidP="6A8E2955" w:rsidRDefault="7A34FB33" w14:paraId="6FE6A70A" w14:textId="6E840966">
      <w:pPr>
        <w:jc w:val="left"/>
        <w:rPr>
          <w:rFonts w:ascii="Calibri" w:hAnsi="Calibri" w:eastAsia="Calibri" w:cs="Calibri"/>
          <w:b w:val="0"/>
          <w:bCs w:val="0"/>
          <w:i w:val="0"/>
          <w:iCs w:val="0"/>
          <w:caps w:val="0"/>
          <w:smallCaps w:val="0"/>
          <w:noProof w:val="0"/>
          <w:color w:val="444444"/>
          <w:sz w:val="24"/>
          <w:szCs w:val="24"/>
          <w:lang w:val="nb-NO"/>
        </w:rPr>
      </w:pPr>
    </w:p>
    <w:p w:rsidR="7A34FB33" w:rsidP="6A8E2955" w:rsidRDefault="7A34FB33" w14:paraId="0FA97178" w14:textId="0AF95A42">
      <w:pPr>
        <w:jc w:val="left"/>
      </w:pPr>
      <w:r w:rsidRPr="6A8E2955" w:rsidR="09B33669">
        <w:rPr>
          <w:rFonts w:ascii="Calibri" w:hAnsi="Calibri" w:eastAsia="Calibri" w:cs="Calibri"/>
          <w:b w:val="0"/>
          <w:bCs w:val="0"/>
          <w:i w:val="0"/>
          <w:iCs w:val="0"/>
          <w:caps w:val="0"/>
          <w:smallCaps w:val="0"/>
          <w:noProof w:val="0"/>
          <w:color w:val="444444"/>
          <w:sz w:val="24"/>
          <w:szCs w:val="24"/>
          <w:lang w:val="nb-NO"/>
        </w:rPr>
        <w:t>Det vil ta flere år før kommunene har tilpasset seg reformen på en slik måte at behovet for statlige tiltak reduseres.</w:t>
      </w:r>
    </w:p>
    <w:p w:rsidR="7A34FB33" w:rsidP="6A8E2955" w:rsidRDefault="7A34FB33" w14:paraId="5B7301FD" w14:textId="7D3665DA">
      <w:pPr>
        <w:jc w:val="left"/>
        <w:rPr>
          <w:rFonts w:ascii="Calibri" w:hAnsi="Calibri" w:eastAsia="Calibri" w:cs="Calibri"/>
          <w:b w:val="1"/>
          <w:bCs w:val="1"/>
          <w:i w:val="0"/>
          <w:iCs w:val="0"/>
          <w:caps w:val="0"/>
          <w:smallCaps w:val="0"/>
          <w:noProof w:val="0"/>
          <w:color w:val="444444"/>
          <w:sz w:val="24"/>
          <w:szCs w:val="24"/>
          <w:lang w:val="nb-NO"/>
        </w:rPr>
      </w:pPr>
    </w:p>
    <w:p w:rsidR="7A34FB33" w:rsidP="6A8E2955" w:rsidRDefault="7A34FB33" w14:paraId="33766C69" w14:textId="4F169FFC">
      <w:pPr>
        <w:jc w:val="left"/>
      </w:pPr>
      <w:r w:rsidRPr="6A8E2955" w:rsidR="09B33669">
        <w:rPr>
          <w:rFonts w:ascii="Calibri" w:hAnsi="Calibri" w:eastAsia="Calibri" w:cs="Calibri"/>
          <w:b w:val="1"/>
          <w:bCs w:val="1"/>
          <w:i w:val="0"/>
          <w:iCs w:val="0"/>
          <w:caps w:val="0"/>
          <w:smallCaps w:val="0"/>
          <w:noProof w:val="0"/>
          <w:color w:val="444444"/>
          <w:sz w:val="24"/>
          <w:szCs w:val="24"/>
          <w:lang w:val="nb-NO"/>
        </w:rPr>
        <w:t>Kostnadsnøkkelen</w:t>
      </w:r>
    </w:p>
    <w:p w:rsidR="7A34FB33" w:rsidP="6A8E2955" w:rsidRDefault="7A34FB33" w14:paraId="6EBF2602" w14:textId="2223B0F8">
      <w:pPr>
        <w:jc w:val="left"/>
      </w:pPr>
      <w:r w:rsidRPr="6A8E2955" w:rsidR="09B33669">
        <w:rPr>
          <w:rFonts w:ascii="Calibri" w:hAnsi="Calibri" w:eastAsia="Calibri" w:cs="Calibri"/>
          <w:b w:val="0"/>
          <w:bCs w:val="0"/>
          <w:i w:val="0"/>
          <w:iCs w:val="0"/>
          <w:caps w:val="0"/>
          <w:smallCaps w:val="0"/>
          <w:noProof w:val="0"/>
          <w:color w:val="444444"/>
          <w:sz w:val="24"/>
          <w:szCs w:val="24"/>
          <w:lang w:val="nb-NO"/>
        </w:rPr>
        <w:t>Økningen i egenandelene ved kjøp av statlige tiltak vil, sammen med en lite treffsikker barnevernnøkkel i inntektssystemet, få uheldige konsekvenser for flere kommuner.</w:t>
      </w:r>
    </w:p>
    <w:p w:rsidR="7A34FB33" w:rsidP="6A8E2955" w:rsidRDefault="7A34FB33" w14:paraId="7A18539D" w14:textId="6D10E6B1">
      <w:pPr>
        <w:jc w:val="left"/>
        <w:rPr>
          <w:rFonts w:ascii="Calibri" w:hAnsi="Calibri" w:eastAsia="Calibri" w:cs="Calibri"/>
          <w:b w:val="0"/>
          <w:bCs w:val="0"/>
          <w:i w:val="0"/>
          <w:iCs w:val="0"/>
          <w:caps w:val="0"/>
          <w:smallCaps w:val="0"/>
          <w:noProof w:val="0"/>
          <w:color w:val="444444"/>
          <w:sz w:val="24"/>
          <w:szCs w:val="24"/>
          <w:lang w:val="nb-NO"/>
        </w:rPr>
      </w:pPr>
    </w:p>
    <w:p w:rsidR="7A34FB33" w:rsidP="6A8E2955" w:rsidRDefault="7A34FB33" w14:paraId="2421D54F" w14:textId="6733912D">
      <w:pPr>
        <w:jc w:val="left"/>
      </w:pPr>
      <w:r w:rsidRPr="6A8E2955" w:rsidR="09B33669">
        <w:rPr>
          <w:rFonts w:ascii="Calibri" w:hAnsi="Calibri" w:eastAsia="Calibri" w:cs="Calibri"/>
          <w:b w:val="0"/>
          <w:bCs w:val="0"/>
          <w:i w:val="0"/>
          <w:iCs w:val="0"/>
          <w:caps w:val="0"/>
          <w:smallCaps w:val="0"/>
          <w:noProof w:val="0"/>
          <w:color w:val="444444"/>
          <w:sz w:val="24"/>
          <w:szCs w:val="24"/>
          <w:lang w:val="nb-NO"/>
        </w:rPr>
        <w:t xml:space="preserve">KS mener det er behov for en forbedret kostnadsnøkkel på barnevernområdet, og har brakt dette temaet inn til inntektsutvalgets arbeid via kommunesektorens medlemmer. Det vil imidlertid ta tid å få på plass en mer treffsikker kostnadsnøkkel. KS har derfor foreslått for Barne- og familiedepartementet at det etableres overgangsordninger for kommuner som kommer negativt ut i </w:t>
      </w:r>
      <w:proofErr w:type="spellStart"/>
      <w:r w:rsidRPr="6A8E2955" w:rsidR="09B33669">
        <w:rPr>
          <w:rFonts w:ascii="Calibri" w:hAnsi="Calibri" w:eastAsia="Calibri" w:cs="Calibri"/>
          <w:b w:val="0"/>
          <w:bCs w:val="0"/>
          <w:i w:val="0"/>
          <w:iCs w:val="0"/>
          <w:caps w:val="0"/>
          <w:smallCaps w:val="0"/>
          <w:noProof w:val="0"/>
          <w:color w:val="444444"/>
          <w:sz w:val="24"/>
          <w:szCs w:val="24"/>
          <w:lang w:val="nb-NO"/>
        </w:rPr>
        <w:t>hht</w:t>
      </w:r>
      <w:proofErr w:type="spellEnd"/>
      <w:r w:rsidRPr="6A8E2955" w:rsidR="09B33669">
        <w:rPr>
          <w:rFonts w:ascii="Calibri" w:hAnsi="Calibri" w:eastAsia="Calibri" w:cs="Calibri"/>
          <w:b w:val="0"/>
          <w:bCs w:val="0"/>
          <w:i w:val="0"/>
          <w:iCs w:val="0"/>
          <w:caps w:val="0"/>
          <w:smallCaps w:val="0"/>
          <w:noProof w:val="0"/>
          <w:color w:val="444444"/>
          <w:sz w:val="24"/>
          <w:szCs w:val="24"/>
          <w:lang w:val="nb-NO"/>
        </w:rPr>
        <w:t xml:space="preserve">. kostnadsnøkkelen for barnevern. </w:t>
      </w:r>
    </w:p>
    <w:p w:rsidR="7A34FB33" w:rsidP="6A8E2955" w:rsidRDefault="7A34FB33" w14:paraId="6AD720DC" w14:textId="4D13B497">
      <w:pPr>
        <w:jc w:val="left"/>
        <w:rPr>
          <w:rFonts w:ascii="Calibri" w:hAnsi="Calibri" w:eastAsia="Calibri" w:cs="Calibri"/>
          <w:b w:val="0"/>
          <w:bCs w:val="0"/>
          <w:i w:val="0"/>
          <w:iCs w:val="0"/>
          <w:caps w:val="0"/>
          <w:smallCaps w:val="0"/>
          <w:noProof w:val="0"/>
          <w:color w:val="444444"/>
          <w:sz w:val="24"/>
          <w:szCs w:val="24"/>
          <w:lang w:val="nb-NO"/>
        </w:rPr>
      </w:pPr>
    </w:p>
    <w:p w:rsidR="7A34FB33" w:rsidP="6A8E2955" w:rsidRDefault="7A34FB33" w14:paraId="6974FED4" w14:textId="55B549BC">
      <w:pPr>
        <w:jc w:val="left"/>
      </w:pPr>
      <w:r w:rsidRPr="6A8E2955" w:rsidR="09B33669">
        <w:rPr>
          <w:rFonts w:ascii="Calibri" w:hAnsi="Calibri" w:eastAsia="Calibri" w:cs="Calibri"/>
          <w:b w:val="0"/>
          <w:bCs w:val="0"/>
          <w:i w:val="0"/>
          <w:iCs w:val="0"/>
          <w:caps w:val="0"/>
          <w:smallCaps w:val="0"/>
          <w:noProof w:val="0"/>
          <w:color w:val="444444"/>
          <w:sz w:val="24"/>
          <w:szCs w:val="24"/>
          <w:lang w:val="nb-NO"/>
        </w:rPr>
        <w:t>Dette kan være rammetilskudd med særskilt fordeling (tabell C), og økning av statsforvalternes handlingsrom for å tildele skjønnsmidler til kommunene.</w:t>
      </w:r>
    </w:p>
    <w:p w:rsidR="7A34FB33" w:rsidP="6A8E2955" w:rsidRDefault="7A34FB33" w14:paraId="42A84E8A" w14:textId="379F3D60">
      <w:pPr>
        <w:jc w:val="left"/>
        <w:rPr>
          <w:rFonts w:ascii="Calibri" w:hAnsi="Calibri" w:eastAsia="Calibri" w:cs="Calibri"/>
          <w:b w:val="1"/>
          <w:bCs w:val="1"/>
          <w:i w:val="0"/>
          <w:iCs w:val="0"/>
          <w:caps w:val="0"/>
          <w:smallCaps w:val="0"/>
          <w:noProof w:val="0"/>
          <w:color w:val="444444"/>
          <w:sz w:val="24"/>
          <w:szCs w:val="24"/>
          <w:lang w:val="nb-NO"/>
        </w:rPr>
      </w:pPr>
    </w:p>
    <w:p w:rsidR="7A34FB33" w:rsidP="6A8E2955" w:rsidRDefault="7A34FB33" w14:paraId="4B457870" w14:textId="6DBB1732">
      <w:pPr>
        <w:jc w:val="left"/>
      </w:pPr>
      <w:r w:rsidRPr="6A8E2955" w:rsidR="09B33669">
        <w:rPr>
          <w:rFonts w:ascii="Calibri" w:hAnsi="Calibri" w:eastAsia="Calibri" w:cs="Calibri"/>
          <w:b w:val="1"/>
          <w:bCs w:val="1"/>
          <w:i w:val="0"/>
          <w:iCs w:val="0"/>
          <w:caps w:val="0"/>
          <w:smallCaps w:val="0"/>
          <w:noProof w:val="0"/>
          <w:color w:val="444444"/>
          <w:sz w:val="24"/>
          <w:szCs w:val="24"/>
          <w:lang w:val="nb-NO"/>
        </w:rPr>
        <w:t>Merutgifter gjennom rammetilskuddet fra 2022</w:t>
      </w:r>
    </w:p>
    <w:p w:rsidR="7A34FB33" w:rsidP="6A8E2955" w:rsidRDefault="7A34FB33" w14:paraId="3F5ABD6F" w14:textId="726CA768">
      <w:pPr>
        <w:jc w:val="left"/>
        <w:rPr>
          <w:rFonts w:ascii="Calibri" w:hAnsi="Calibri" w:eastAsia="Calibri" w:cs="Calibri"/>
          <w:b w:val="0"/>
          <w:bCs w:val="0"/>
          <w:i w:val="0"/>
          <w:iCs w:val="0"/>
          <w:caps w:val="0"/>
          <w:smallCaps w:val="0"/>
          <w:noProof w:val="0"/>
          <w:color w:val="444444"/>
          <w:sz w:val="24"/>
          <w:szCs w:val="24"/>
          <w:lang w:val="nb-NO"/>
        </w:rPr>
      </w:pPr>
      <w:r w:rsidRPr="6A8E2955" w:rsidR="09B33669">
        <w:rPr>
          <w:rFonts w:ascii="Calibri" w:hAnsi="Calibri" w:eastAsia="Calibri" w:cs="Calibri"/>
          <w:b w:val="0"/>
          <w:bCs w:val="0"/>
          <w:i w:val="0"/>
          <w:iCs w:val="0"/>
          <w:caps w:val="0"/>
          <w:smallCaps w:val="0"/>
          <w:noProof w:val="0"/>
          <w:color w:val="444444"/>
          <w:sz w:val="24"/>
          <w:szCs w:val="24"/>
          <w:lang w:val="nb-NO"/>
        </w:rPr>
        <w:t>Kommunesektorens merutgifter innlemmes gjennom rammetilskuddet fra 2022. Egenandelene fastsettes av Stortinget. Høyere egenandeler kompenseres med økning i rammetilskuddet. Hovedlinjene kommer i kommuneproposisjonen våren 2021. Endelige økonomiske rammer fastsettes for statsbudsjettet i 2022</w:t>
      </w:r>
      <w:r w:rsidRPr="6A8E2955" w:rsidR="29DBD174">
        <w:rPr>
          <w:rFonts w:ascii="Calibri" w:hAnsi="Calibri" w:eastAsia="Calibri" w:cs="Calibri"/>
          <w:b w:val="0"/>
          <w:bCs w:val="0"/>
          <w:i w:val="0"/>
          <w:iCs w:val="0"/>
          <w:caps w:val="0"/>
          <w:smallCaps w:val="0"/>
          <w:noProof w:val="0"/>
          <w:color w:val="444444"/>
          <w:sz w:val="24"/>
          <w:szCs w:val="24"/>
          <w:lang w:val="nb-NO"/>
        </w:rPr>
        <w:t>”</w:t>
      </w:r>
      <w:r w:rsidRPr="6A8E2955" w:rsidR="09B33669">
        <w:rPr>
          <w:rFonts w:ascii="Calibri" w:hAnsi="Calibri" w:eastAsia="Calibri" w:cs="Calibri"/>
          <w:b w:val="0"/>
          <w:bCs w:val="0"/>
          <w:i w:val="0"/>
          <w:iCs w:val="0"/>
          <w:caps w:val="0"/>
          <w:smallCaps w:val="0"/>
          <w:noProof w:val="0"/>
          <w:color w:val="444444"/>
          <w:sz w:val="24"/>
          <w:szCs w:val="24"/>
          <w:lang w:val="nb-NO"/>
        </w:rPr>
        <w:t>.</w:t>
      </w:r>
    </w:p>
    <w:p w:rsidR="7A34FB33" w:rsidP="6A8E2955" w:rsidRDefault="7A34FB33" w14:paraId="58C9BACF" w14:textId="65524C04">
      <w:pPr>
        <w:pStyle w:val="Normal"/>
        <w:rPr>
          <w:noProof w:val="0"/>
          <w:lang w:val="nb-NO"/>
        </w:rPr>
      </w:pPr>
    </w:p>
    <w:p w:rsidR="7A34FB33" w:rsidP="6A8E2955" w:rsidRDefault="7A34FB33" w14:paraId="59A1FD92" w14:textId="232D4580">
      <w:pPr>
        <w:pStyle w:val="Heading2"/>
        <w:spacing w:before="40"/>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pPr>
      <w:r w:rsidRPr="6A8E2955" w:rsidR="6AA34928">
        <w:rPr>
          <w:rFonts w:ascii="Calibri Light" w:hAnsi="Calibri Light" w:eastAsia="Calibri Light" w:cs="Calibri Light"/>
          <w:b w:val="0"/>
          <w:bCs w:val="0"/>
          <w:i w:val="0"/>
          <w:iCs w:val="0"/>
          <w:caps w:val="0"/>
          <w:smallCaps w:val="0"/>
          <w:noProof w:val="0"/>
          <w:color w:val="2E74B5" w:themeColor="accent1" w:themeTint="FF" w:themeShade="BF"/>
          <w:sz w:val="26"/>
          <w:szCs w:val="26"/>
          <w:lang w:val="nb-NO"/>
        </w:rPr>
        <w:t>Forslag til løsning:</w:t>
      </w:r>
    </w:p>
    <w:p w:rsidR="7A34FB33" w:rsidP="6A8E2955" w:rsidRDefault="7A34FB33" w14:paraId="07C10C49" w14:textId="2D380FE0">
      <w:pPr>
        <w:pStyle w:val="Normal"/>
        <w:jc w:val="left"/>
        <w:rPr>
          <w:rFonts w:ascii="Calibri" w:hAnsi="Calibri" w:eastAsia="Calibri" w:cs="Calibri"/>
          <w:b w:val="1"/>
          <w:bCs w:val="1"/>
          <w:i w:val="0"/>
          <w:iCs w:val="0"/>
          <w:caps w:val="0"/>
          <w:smallCaps w:val="0"/>
          <w:noProof w:val="0"/>
          <w:color w:val="444444"/>
          <w:sz w:val="24"/>
          <w:szCs w:val="24"/>
          <w:lang w:val="nb-NO"/>
        </w:rPr>
      </w:pPr>
      <w:r w:rsidRPr="02F7B02E" w:rsidR="333A9589">
        <w:rPr>
          <w:b w:val="1"/>
          <w:bCs w:val="1"/>
        </w:rPr>
        <w:t xml:space="preserve">Region Kristiansand støtter </w:t>
      </w:r>
      <w:r w:rsidRPr="02F7B02E" w:rsidR="333A9589">
        <w:rPr>
          <w:b w:val="1"/>
          <w:bCs w:val="1"/>
        </w:rPr>
        <w:t>KS</w:t>
      </w:r>
      <w:r w:rsidRPr="02F7B02E" w:rsidR="2961804F">
        <w:rPr>
          <w:b w:val="1"/>
          <w:bCs w:val="1"/>
        </w:rPr>
        <w:t xml:space="preserve"> </w:t>
      </w:r>
      <w:r w:rsidRPr="02F7B02E" w:rsidR="333A9589">
        <w:rPr>
          <w:b w:val="1"/>
          <w:bCs w:val="1"/>
        </w:rPr>
        <w:t>i</w:t>
      </w:r>
      <w:r w:rsidRPr="02F7B02E" w:rsidR="333A9589">
        <w:rPr>
          <w:b w:val="1"/>
          <w:bCs w:val="1"/>
        </w:rPr>
        <w:t xml:space="preserve"> at det </w:t>
      </w:r>
      <w:r w:rsidRPr="02F7B02E" w:rsidR="333A9589">
        <w:rPr>
          <w:rFonts w:ascii="Calibri" w:hAnsi="Calibri" w:eastAsia="Calibri" w:cs="Calibri"/>
          <w:b w:val="1"/>
          <w:bCs w:val="1"/>
          <w:i w:val="0"/>
          <w:iCs w:val="0"/>
          <w:caps w:val="0"/>
          <w:smallCaps w:val="0"/>
          <w:noProof w:val="0"/>
          <w:color w:val="444444"/>
          <w:sz w:val="24"/>
          <w:szCs w:val="24"/>
          <w:lang w:val="nb-NO"/>
        </w:rPr>
        <w:t>er behov for en treffsikker kostnadsnøkkel på barnevernområdet</w:t>
      </w:r>
      <w:r w:rsidRPr="02F7B02E" w:rsidR="5CF6B5D7">
        <w:rPr>
          <w:rFonts w:ascii="Calibri" w:hAnsi="Calibri" w:eastAsia="Calibri" w:cs="Calibri"/>
          <w:b w:val="1"/>
          <w:bCs w:val="1"/>
          <w:i w:val="0"/>
          <w:iCs w:val="0"/>
          <w:caps w:val="0"/>
          <w:smallCaps w:val="0"/>
          <w:noProof w:val="0"/>
          <w:color w:val="444444"/>
          <w:sz w:val="24"/>
          <w:szCs w:val="24"/>
          <w:lang w:val="nb-NO"/>
        </w:rPr>
        <w:t xml:space="preserve"> og </w:t>
      </w:r>
      <w:r w:rsidRPr="02F7B02E" w:rsidR="333A9589">
        <w:rPr>
          <w:rFonts w:ascii="Calibri" w:hAnsi="Calibri" w:eastAsia="Calibri" w:cs="Calibri"/>
          <w:b w:val="1"/>
          <w:bCs w:val="1"/>
          <w:i w:val="0"/>
          <w:iCs w:val="0"/>
          <w:caps w:val="0"/>
          <w:smallCaps w:val="0"/>
          <w:noProof w:val="0"/>
          <w:color w:val="444444"/>
          <w:sz w:val="24"/>
          <w:szCs w:val="24"/>
          <w:lang w:val="nb-NO"/>
        </w:rPr>
        <w:t xml:space="preserve">at det etableres overgangsordninger for kommuner som kommer negativt ut i </w:t>
      </w:r>
      <w:r w:rsidRPr="02F7B02E" w:rsidR="333A9589">
        <w:rPr>
          <w:rFonts w:ascii="Calibri" w:hAnsi="Calibri" w:eastAsia="Calibri" w:cs="Calibri"/>
          <w:b w:val="1"/>
          <w:bCs w:val="1"/>
          <w:i w:val="0"/>
          <w:iCs w:val="0"/>
          <w:caps w:val="0"/>
          <w:smallCaps w:val="0"/>
          <w:noProof w:val="0"/>
          <w:color w:val="444444"/>
          <w:sz w:val="24"/>
          <w:szCs w:val="24"/>
          <w:lang w:val="nb-NO"/>
        </w:rPr>
        <w:t>hht</w:t>
      </w:r>
      <w:r w:rsidRPr="02F7B02E" w:rsidR="333A9589">
        <w:rPr>
          <w:rFonts w:ascii="Calibri" w:hAnsi="Calibri" w:eastAsia="Calibri" w:cs="Calibri"/>
          <w:b w:val="1"/>
          <w:bCs w:val="1"/>
          <w:i w:val="0"/>
          <w:iCs w:val="0"/>
          <w:caps w:val="0"/>
          <w:smallCaps w:val="0"/>
          <w:noProof w:val="0"/>
          <w:color w:val="444444"/>
          <w:sz w:val="24"/>
          <w:szCs w:val="24"/>
          <w:lang w:val="nb-NO"/>
        </w:rPr>
        <w:t>. kostnadsnøkkelen for barnevern.</w:t>
      </w:r>
    </w:p>
    <w:p w:rsidR="02F7B02E" w:rsidP="02F7B02E" w:rsidRDefault="02F7B02E" w14:paraId="36555EC8" w14:textId="24FACE23">
      <w:pPr>
        <w:pStyle w:val="Normal"/>
        <w:jc w:val="left"/>
        <w:rPr>
          <w:rFonts w:ascii="Calibri" w:hAnsi="Calibri" w:eastAsia="Calibri" w:cs="Calibri"/>
          <w:b w:val="1"/>
          <w:bCs w:val="1"/>
          <w:i w:val="0"/>
          <w:iCs w:val="0"/>
          <w:caps w:val="0"/>
          <w:smallCaps w:val="0"/>
          <w:noProof w:val="0"/>
          <w:color w:val="444444"/>
          <w:sz w:val="24"/>
          <w:szCs w:val="24"/>
          <w:lang w:val="nb-NO"/>
        </w:rPr>
      </w:pPr>
    </w:p>
    <w:p w:rsidR="57E234E4" w:rsidP="3DC482BC" w:rsidRDefault="57E234E4" w14:paraId="1B81FC13" w14:textId="44B9E481">
      <w:pPr>
        <w:pStyle w:val="Normal"/>
        <w:jc w:val="left"/>
        <w:rPr>
          <w:rFonts w:ascii="Calibri" w:hAnsi="Calibri" w:eastAsia="Calibri" w:cs="Calibri"/>
          <w:b w:val="1"/>
          <w:bCs w:val="1"/>
          <w:i w:val="0"/>
          <w:iCs w:val="0"/>
          <w:caps w:val="0"/>
          <w:smallCaps w:val="0"/>
          <w:noProof w:val="0"/>
          <w:color w:val="444444"/>
          <w:sz w:val="24"/>
          <w:szCs w:val="24"/>
          <w:lang w:val="nb-NO"/>
        </w:rPr>
      </w:pPr>
      <w:r w:rsidRPr="3DC482BC" w:rsidR="57E234E4">
        <w:rPr>
          <w:rFonts w:ascii="Calibri" w:hAnsi="Calibri" w:eastAsia="Calibri" w:cs="Calibri"/>
          <w:b w:val="1"/>
          <w:bCs w:val="1"/>
          <w:i w:val="0"/>
          <w:iCs w:val="0"/>
          <w:caps w:val="0"/>
          <w:smallCaps w:val="0"/>
          <w:noProof w:val="0"/>
          <w:color w:val="444444"/>
          <w:sz w:val="24"/>
          <w:szCs w:val="24"/>
          <w:lang w:val="nb-NO"/>
        </w:rPr>
        <w:t xml:space="preserve">Det må være forutsigbare </w:t>
      </w:r>
      <w:r w:rsidRPr="3DC482BC" w:rsidR="57E234E4">
        <w:rPr>
          <w:rFonts w:ascii="Calibri" w:hAnsi="Calibri" w:eastAsia="Calibri" w:cs="Calibri"/>
          <w:b w:val="1"/>
          <w:bCs w:val="1"/>
          <w:i w:val="0"/>
          <w:iCs w:val="0"/>
          <w:caps w:val="0"/>
          <w:smallCaps w:val="0"/>
          <w:noProof w:val="0"/>
          <w:color w:val="444444"/>
          <w:sz w:val="24"/>
          <w:szCs w:val="24"/>
          <w:lang w:val="nb-NO"/>
        </w:rPr>
        <w:t>retning</w:t>
      </w:r>
      <w:r w:rsidRPr="3DC482BC" w:rsidR="10720271">
        <w:rPr>
          <w:rFonts w:ascii="Calibri" w:hAnsi="Calibri" w:eastAsia="Calibri" w:cs="Calibri"/>
          <w:b w:val="1"/>
          <w:bCs w:val="1"/>
          <w:i w:val="0"/>
          <w:iCs w:val="0"/>
          <w:caps w:val="0"/>
          <w:smallCaps w:val="0"/>
          <w:noProof w:val="0"/>
          <w:color w:val="444444"/>
          <w:sz w:val="24"/>
          <w:szCs w:val="24"/>
          <w:lang w:val="nb-NO"/>
        </w:rPr>
        <w:t>s</w:t>
      </w:r>
      <w:r w:rsidRPr="3DC482BC" w:rsidR="57E234E4">
        <w:rPr>
          <w:rFonts w:ascii="Calibri" w:hAnsi="Calibri" w:eastAsia="Calibri" w:cs="Calibri"/>
          <w:b w:val="1"/>
          <w:bCs w:val="1"/>
          <w:i w:val="0"/>
          <w:iCs w:val="0"/>
          <w:caps w:val="0"/>
          <w:smallCaps w:val="0"/>
          <w:noProof w:val="0"/>
          <w:color w:val="444444"/>
          <w:sz w:val="24"/>
          <w:szCs w:val="24"/>
          <w:lang w:val="nb-NO"/>
        </w:rPr>
        <w:t>linjer</w:t>
      </w:r>
      <w:r w:rsidRPr="3DC482BC" w:rsidR="57E234E4">
        <w:rPr>
          <w:rFonts w:ascii="Calibri" w:hAnsi="Calibri" w:eastAsia="Calibri" w:cs="Calibri"/>
          <w:b w:val="1"/>
          <w:bCs w:val="1"/>
          <w:i w:val="0"/>
          <w:iCs w:val="0"/>
          <w:caps w:val="0"/>
          <w:smallCaps w:val="0"/>
          <w:noProof w:val="0"/>
          <w:color w:val="444444"/>
          <w:sz w:val="24"/>
          <w:szCs w:val="24"/>
          <w:lang w:val="nb-NO"/>
        </w:rPr>
        <w:t xml:space="preserve"> for regulering av ansvar mellom kommuner og tydelig ansvar for spesialisthelsetjenesten.</w:t>
      </w:r>
    </w:p>
    <w:p w:rsidR="7A34FB33" w:rsidP="6A8E2955" w:rsidRDefault="7A34FB33" w14:paraId="7E3A9CB6" w14:textId="65C908AB">
      <w:pPr>
        <w:pStyle w:val="Normal"/>
        <w:rPr>
          <w:b w:val="1"/>
          <w:bCs w:val="1"/>
        </w:rPr>
      </w:pPr>
    </w:p>
    <w:sectPr w:rsidR="46DAF5BA" w:rsidSect="002F7AE2">
      <w:headerReference w:type="even" r:id="rId11"/>
      <w:headerReference w:type="default" r:id="rId12"/>
      <w:footerReference w:type="even" r:id="rId13"/>
      <w:footerReference w:type="default" r:id="rId14"/>
      <w:headerReference w:type="first" r:id="rId15"/>
      <w:footerReference w:type="first" r:id="rId16"/>
      <w:pgSz w:w="11900" w:h="16840" w:orient="portrait"/>
      <w:pgMar w:top="245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39CD" w:rsidP="0059258F" w:rsidRDefault="002639CD" w14:paraId="1A076B9E" w14:textId="77777777">
      <w:r>
        <w:separator/>
      </w:r>
    </w:p>
  </w:endnote>
  <w:endnote w:type="continuationSeparator" w:id="0">
    <w:p w:rsidR="002639CD" w:rsidP="0059258F" w:rsidRDefault="002639CD" w14:paraId="1C29A9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4CD4D84E"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03211" w:rsidRDefault="003A6F78" w14:paraId="34DBB7DC" w14:textId="77777777">
    <w:pPr>
      <w:pStyle w:val="Bunntekst"/>
    </w:pPr>
    <w:r>
      <w:rPr>
        <w:noProof/>
        <w:lang w:eastAsia="nb-NO"/>
      </w:rPr>
      <w:drawing>
        <wp:anchor distT="0" distB="0" distL="114300" distR="114300" simplePos="0" relativeHeight="251663360" behindDoc="1" locked="0" layoutInCell="1" allowOverlap="1" wp14:anchorId="5C7E72CA" wp14:editId="7A069AD4">
          <wp:simplePos x="0" y="0"/>
          <wp:positionH relativeFrom="column">
            <wp:posOffset>-897890</wp:posOffset>
          </wp:positionH>
          <wp:positionV relativeFrom="paragraph">
            <wp:posOffset>-377190</wp:posOffset>
          </wp:positionV>
          <wp:extent cx="7549200" cy="1065600"/>
          <wp:effectExtent l="0" t="0" r="0" b="127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mal region kristiansand v05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35B0ED8C"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39CD" w:rsidP="0059258F" w:rsidRDefault="002639CD" w14:paraId="2F7C98D8" w14:textId="77777777">
      <w:r>
        <w:separator/>
      </w:r>
    </w:p>
  </w:footnote>
  <w:footnote w:type="continuationSeparator" w:id="0">
    <w:p w:rsidR="002639CD" w:rsidP="0059258F" w:rsidRDefault="002639CD" w14:paraId="5D5A3E7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590165DA"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9258F" w:rsidP="002F7AE2" w:rsidRDefault="00D8776A" w14:paraId="0320F060" w14:textId="77777777">
    <w:pPr>
      <w:pStyle w:val="Topptekst"/>
      <w:jc w:val="center"/>
    </w:pPr>
    <w:r>
      <w:rPr>
        <w:noProof/>
        <w:lang w:eastAsia="nb-NO"/>
      </w:rPr>
      <w:drawing>
        <wp:anchor distT="0" distB="0" distL="114300" distR="114300" simplePos="0" relativeHeight="251662336" behindDoc="0" locked="0" layoutInCell="1" allowOverlap="1" wp14:anchorId="2DAEE5BA" wp14:editId="29AFE8B0">
          <wp:simplePos x="0" y="0"/>
          <wp:positionH relativeFrom="column">
            <wp:posOffset>-895985</wp:posOffset>
          </wp:positionH>
          <wp:positionV relativeFrom="paragraph">
            <wp:posOffset>-434412</wp:posOffset>
          </wp:positionV>
          <wp:extent cx="7592394" cy="107179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mal region kristiansand Header.png"/>
                  <pic:cNvPicPr/>
                </pic:nvPicPr>
                <pic:blipFill>
                  <a:blip r:embed="rId1">
                    <a:extLst>
                      <a:ext uri="{28A0092B-C50C-407E-A947-70E740481C1C}">
                        <a14:useLocalDpi xmlns:a14="http://schemas.microsoft.com/office/drawing/2010/main" val="0"/>
                      </a:ext>
                    </a:extLst>
                  </a:blip>
                  <a:stretch>
                    <a:fillRect/>
                  </a:stretch>
                </pic:blipFill>
                <pic:spPr>
                  <a:xfrm>
                    <a:off x="0" y="0"/>
                    <a:ext cx="7592394" cy="10717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F78" w:rsidRDefault="003A6F78" w14:paraId="0478E8C9"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2252360"/>
    <w:multiLevelType w:val="hybridMultilevel"/>
    <w:tmpl w:val="74B22D9E"/>
    <w:lvl w:ilvl="0" w:tplc="814CB056">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E975864"/>
    <w:multiLevelType w:val="hybridMultilevel"/>
    <w:tmpl w:val="59266592"/>
    <w:lvl w:ilvl="0" w:tplc="DA7691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0F85117"/>
    <w:multiLevelType w:val="hybridMultilevel"/>
    <w:tmpl w:val="3C76EEA0"/>
    <w:lvl w:ilvl="0" w:tplc="F2C4E5CA">
      <w:start w:val="1"/>
      <w:numFmt w:val="decimal"/>
      <w:lvlText w:val="%1."/>
      <w:lvlJc w:val="left"/>
      <w:pPr>
        <w:ind w:left="720" w:hanging="360"/>
      </w:pPr>
    </w:lvl>
    <w:lvl w:ilvl="1" w:tplc="1494B484">
      <w:start w:val="1"/>
      <w:numFmt w:val="lowerLetter"/>
      <w:lvlText w:val="%2."/>
      <w:lvlJc w:val="left"/>
      <w:pPr>
        <w:ind w:left="1440" w:hanging="360"/>
      </w:pPr>
    </w:lvl>
    <w:lvl w:ilvl="2" w:tplc="BB928986">
      <w:start w:val="1"/>
      <w:numFmt w:val="lowerRoman"/>
      <w:lvlText w:val="%3."/>
      <w:lvlJc w:val="right"/>
      <w:pPr>
        <w:ind w:left="2160" w:hanging="180"/>
      </w:pPr>
    </w:lvl>
    <w:lvl w:ilvl="3" w:tplc="75A80B18">
      <w:start w:val="1"/>
      <w:numFmt w:val="decimal"/>
      <w:lvlText w:val="%4."/>
      <w:lvlJc w:val="left"/>
      <w:pPr>
        <w:ind w:left="2880" w:hanging="360"/>
      </w:pPr>
    </w:lvl>
    <w:lvl w:ilvl="4" w:tplc="FE54AABC">
      <w:start w:val="1"/>
      <w:numFmt w:val="lowerLetter"/>
      <w:lvlText w:val="%5."/>
      <w:lvlJc w:val="left"/>
      <w:pPr>
        <w:ind w:left="3600" w:hanging="360"/>
      </w:pPr>
    </w:lvl>
    <w:lvl w:ilvl="5" w:tplc="79A05292">
      <w:start w:val="1"/>
      <w:numFmt w:val="lowerRoman"/>
      <w:lvlText w:val="%6."/>
      <w:lvlJc w:val="right"/>
      <w:pPr>
        <w:ind w:left="4320" w:hanging="180"/>
      </w:pPr>
    </w:lvl>
    <w:lvl w:ilvl="6" w:tplc="2AC67C9A">
      <w:start w:val="1"/>
      <w:numFmt w:val="decimal"/>
      <w:lvlText w:val="%7."/>
      <w:lvlJc w:val="left"/>
      <w:pPr>
        <w:ind w:left="5040" w:hanging="360"/>
      </w:pPr>
    </w:lvl>
    <w:lvl w:ilvl="7" w:tplc="AB8C8616">
      <w:start w:val="1"/>
      <w:numFmt w:val="lowerLetter"/>
      <w:lvlText w:val="%8."/>
      <w:lvlJc w:val="left"/>
      <w:pPr>
        <w:ind w:left="5760" w:hanging="360"/>
      </w:pPr>
    </w:lvl>
    <w:lvl w:ilvl="8" w:tplc="717E63DC">
      <w:start w:val="1"/>
      <w:numFmt w:val="lowerRoman"/>
      <w:lvlText w:val="%9."/>
      <w:lvlJc w:val="right"/>
      <w:pPr>
        <w:ind w:left="6480" w:hanging="180"/>
      </w:pPr>
    </w:lvl>
  </w:abstractNum>
  <w:num w:numId="5">
    <w:abstractNumId w:val="4"/>
  </w:num>
  <w:num w:numId="4">
    <w:abstractNumId w:val="3"/>
  </w: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7B"/>
    <w:rsid w:val="00053684"/>
    <w:rsid w:val="00082657"/>
    <w:rsid w:val="00125EC7"/>
    <w:rsid w:val="001A15C3"/>
    <w:rsid w:val="001F370D"/>
    <w:rsid w:val="002639CD"/>
    <w:rsid w:val="002B4A9F"/>
    <w:rsid w:val="002C3F3F"/>
    <w:rsid w:val="002D46D7"/>
    <w:rsid w:val="002F7AE2"/>
    <w:rsid w:val="003A6F78"/>
    <w:rsid w:val="003C67C0"/>
    <w:rsid w:val="005648DF"/>
    <w:rsid w:val="0059258F"/>
    <w:rsid w:val="005D19F9"/>
    <w:rsid w:val="00792BCE"/>
    <w:rsid w:val="00810D0A"/>
    <w:rsid w:val="008C3DE4"/>
    <w:rsid w:val="00976ADD"/>
    <w:rsid w:val="00A22E7B"/>
    <w:rsid w:val="00A514A7"/>
    <w:rsid w:val="00B27AB6"/>
    <w:rsid w:val="00B922DD"/>
    <w:rsid w:val="00C11B15"/>
    <w:rsid w:val="00C261D7"/>
    <w:rsid w:val="00C34814"/>
    <w:rsid w:val="00C458B9"/>
    <w:rsid w:val="00CE7EAF"/>
    <w:rsid w:val="00D03211"/>
    <w:rsid w:val="00D623CC"/>
    <w:rsid w:val="00D76C67"/>
    <w:rsid w:val="00D8776A"/>
    <w:rsid w:val="00E438FE"/>
    <w:rsid w:val="00E87342"/>
    <w:rsid w:val="00EF4E88"/>
    <w:rsid w:val="00F90D07"/>
    <w:rsid w:val="02F7B02E"/>
    <w:rsid w:val="05146677"/>
    <w:rsid w:val="0572769B"/>
    <w:rsid w:val="09B33669"/>
    <w:rsid w:val="0FBC00F2"/>
    <w:rsid w:val="10720271"/>
    <w:rsid w:val="1274AC00"/>
    <w:rsid w:val="17DA0E7E"/>
    <w:rsid w:val="1A90441B"/>
    <w:rsid w:val="21853761"/>
    <w:rsid w:val="23552492"/>
    <w:rsid w:val="2500A022"/>
    <w:rsid w:val="2885572F"/>
    <w:rsid w:val="2961804F"/>
    <w:rsid w:val="29DBD174"/>
    <w:rsid w:val="2F493285"/>
    <w:rsid w:val="31A8A586"/>
    <w:rsid w:val="333A9589"/>
    <w:rsid w:val="34823D27"/>
    <w:rsid w:val="37F36D8B"/>
    <w:rsid w:val="3DC482BC"/>
    <w:rsid w:val="4686EF03"/>
    <w:rsid w:val="46B77D40"/>
    <w:rsid w:val="46DAF5BA"/>
    <w:rsid w:val="4A76C14E"/>
    <w:rsid w:val="5614F496"/>
    <w:rsid w:val="57E234E4"/>
    <w:rsid w:val="5CF6B5D7"/>
    <w:rsid w:val="60579102"/>
    <w:rsid w:val="69EF991D"/>
    <w:rsid w:val="6A8E2955"/>
    <w:rsid w:val="6AA34928"/>
    <w:rsid w:val="6ADAF6B7"/>
    <w:rsid w:val="6B1DD3AA"/>
    <w:rsid w:val="716D2F36"/>
    <w:rsid w:val="765174DB"/>
    <w:rsid w:val="77DC70BA"/>
    <w:rsid w:val="7A34FB33"/>
    <w:rsid w:val="7DC7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F9402"/>
  <w15:docId w15:val="{01F396A3-9713-4D36-91A4-3892C822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b-NO"/>
    </w:rPr>
  </w:style>
  <w:style w:type="paragraph" w:styleId="Overskrift1">
    <w:name w:val="heading 1"/>
    <w:basedOn w:val="Normal"/>
    <w:next w:val="Normal"/>
    <w:link w:val="Overskrift1Tegn"/>
    <w:uiPriority w:val="9"/>
    <w:qFormat/>
    <w:rsid w:val="00E87342"/>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59258F"/>
    <w:pPr>
      <w:tabs>
        <w:tab w:val="center" w:pos="4536"/>
        <w:tab w:val="right" w:pos="9072"/>
      </w:tabs>
    </w:pPr>
  </w:style>
  <w:style w:type="character" w:styleId="TopptekstTegn" w:customStyle="1">
    <w:name w:val="Topptekst Tegn"/>
    <w:basedOn w:val="Standardskriftforavsnitt"/>
    <w:link w:val="Topptekst"/>
    <w:uiPriority w:val="99"/>
    <w:rsid w:val="0059258F"/>
  </w:style>
  <w:style w:type="paragraph" w:styleId="Bunntekst">
    <w:name w:val="footer"/>
    <w:basedOn w:val="Normal"/>
    <w:link w:val="BunntekstTegn"/>
    <w:uiPriority w:val="99"/>
    <w:unhideWhenUsed/>
    <w:rsid w:val="0059258F"/>
    <w:pPr>
      <w:tabs>
        <w:tab w:val="center" w:pos="4536"/>
        <w:tab w:val="right" w:pos="9072"/>
      </w:tabs>
    </w:pPr>
  </w:style>
  <w:style w:type="character" w:styleId="BunntekstTegn" w:customStyle="1">
    <w:name w:val="Bunntekst Tegn"/>
    <w:basedOn w:val="Standardskriftforavsnitt"/>
    <w:link w:val="Bunntekst"/>
    <w:uiPriority w:val="99"/>
    <w:rsid w:val="0059258F"/>
  </w:style>
  <w:style w:type="paragraph" w:styleId="Listeavsnitt">
    <w:name w:val="List Paragraph"/>
    <w:basedOn w:val="Normal"/>
    <w:uiPriority w:val="34"/>
    <w:qFormat/>
    <w:rsid w:val="00125EC7"/>
    <w:pPr>
      <w:ind w:left="720"/>
      <w:contextualSpacing/>
    </w:pPr>
  </w:style>
  <w:style w:type="paragraph" w:styleId="Bobletekst">
    <w:name w:val="Balloon Text"/>
    <w:basedOn w:val="Normal"/>
    <w:link w:val="BobletekstTegn"/>
    <w:uiPriority w:val="99"/>
    <w:semiHidden/>
    <w:unhideWhenUsed/>
    <w:rsid w:val="00C458B9"/>
    <w:rPr>
      <w:rFonts w:ascii="Times New Roman" w:hAnsi="Times New Roman" w:cs="Times New Roman"/>
      <w:sz w:val="18"/>
      <w:szCs w:val="18"/>
    </w:rPr>
  </w:style>
  <w:style w:type="character" w:styleId="BobletekstTegn" w:customStyle="1">
    <w:name w:val="Bobletekst Tegn"/>
    <w:basedOn w:val="Standardskriftforavsnitt"/>
    <w:link w:val="Bobletekst"/>
    <w:uiPriority w:val="99"/>
    <w:semiHidden/>
    <w:rsid w:val="00C458B9"/>
    <w:rPr>
      <w:rFonts w:ascii="Times New Roman" w:hAnsi="Times New Roman" w:cs="Times New Roman"/>
      <w:sz w:val="18"/>
      <w:szCs w:val="18"/>
      <w:lang w:val="nb-NO"/>
    </w:rPr>
  </w:style>
  <w:style w:type="table" w:styleId="Tabellrutenett">
    <w:name w:val="Table Grid"/>
    <w:basedOn w:val="Vanligtabel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Overskrift1Tegn" w:customStyle="1">
    <w:name w:val="Overskrift 1 Tegn"/>
    <w:basedOn w:val="Standardskriftforavsnitt"/>
    <w:link w:val="Overskrift1"/>
    <w:uiPriority w:val="9"/>
    <w:rsid w:val="00E87342"/>
    <w:rPr>
      <w:rFonts w:asciiTheme="majorHAnsi" w:hAnsiTheme="majorHAnsi" w:eastAsiaTheme="majorEastAsia" w:cstheme="majorBidi"/>
      <w:color w:val="2E74B5" w:themeColor="accent1" w:themeShade="BF"/>
      <w:sz w:val="32"/>
      <w:szCs w:val="32"/>
      <w:lang w:val="nb-NO"/>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Standardskriftforavsnit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foravsnit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ks.no/fagomrader/barn-og-unge/barnevern/barnevernsreformen2/barnevernsreformen--beregning-av-fremtidige-utgifter/" TargetMode="External" Id="R0dc21521c4eb4333"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the.m.matzow\AppData\Local\Microsoft\Windows\Temporary%20Internet%20Files\Content.Outlook\17PKVCL5\Word-mal%20v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76B19B318FC14E97B9E6DBF53BE93D" ma:contentTypeVersion="12" ma:contentTypeDescription="Opprett et nytt dokument." ma:contentTypeScope="" ma:versionID="c5ac523067e84334c1b2abb36a07a88f">
  <xsd:schema xmlns:xsd="http://www.w3.org/2001/XMLSchema" xmlns:xs="http://www.w3.org/2001/XMLSchema" xmlns:p="http://schemas.microsoft.com/office/2006/metadata/properties" xmlns:ns2="52320414-34bd-4c2f-ae2d-ff69ebc84ce6" xmlns:ns3="a3938e04-e355-4c1b-9115-c1625c31b11b" targetNamespace="http://schemas.microsoft.com/office/2006/metadata/properties" ma:root="true" ma:fieldsID="471c9bb67f93595d3d8a7645d3a3efa5" ns2:_="" ns3:_="">
    <xsd:import namespace="52320414-34bd-4c2f-ae2d-ff69ebc84ce6"/>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20414-34bd-4c2f-ae2d-ff69ebc84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D7B59-172C-4ACF-8357-E468538E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20414-34bd-4c2f-ae2d-ff69ebc84ce6"/>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2C3BD-0CA8-4C4A-BD2E-F60D7C1C2BCA}">
  <ds:schemaRefs>
    <ds:schemaRef ds:uri="http://schemas.microsoft.com/sharepoint/v3/contenttype/forms"/>
  </ds:schemaRefs>
</ds:datastoreItem>
</file>

<file path=customXml/itemProps3.xml><?xml version="1.0" encoding="utf-8"?>
<ds:datastoreItem xmlns:ds="http://schemas.openxmlformats.org/officeDocument/2006/customXml" ds:itemID="{E42EACA3-F35E-4362-864C-9A924CD5C82E}">
  <ds:schemaRefs>
    <ds:schemaRef ds:uri="http://schemas.openxmlformats.org/officeDocument/2006/bibliography"/>
  </ds:schemaRefs>
</ds:datastoreItem>
</file>

<file path=customXml/itemProps4.xml><?xml version="1.0" encoding="utf-8"?>
<ds:datastoreItem xmlns:ds="http://schemas.openxmlformats.org/officeDocument/2006/customXml" ds:itemID="{25062F34-8F7E-4380-BA1B-2F2B1A353EB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Word-mal v05</ap:Template>
  <ap:Application>Microsoft Word for the web</ap:Application>
  <ap:DocSecurity>0</ap:DocSecurity>
  <ap:ScaleCrop>false</ap:ScaleCrop>
  <ap:Company>Kr-IKT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Grethe M. Matzow</dc:creator>
  <keywords/>
  <dc:description/>
  <lastModifiedBy>Tone Marie Nybø Solheim</lastModifiedBy>
  <revision>9</revision>
  <lastPrinted>2018-11-29T12:21:00.0000000Z</lastPrinted>
  <dcterms:created xsi:type="dcterms:W3CDTF">2020-01-21T12:45:00.0000000Z</dcterms:created>
  <dcterms:modified xsi:type="dcterms:W3CDTF">2021-09-29T10:22:55.1215857Z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0x0101004776B19B318FC14E97B9E6DBF53BE93D</vt:lpwstr>
  </property>
</Properties>
</file>